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FB909D" w14:textId="77777777" w:rsidR="004051BF" w:rsidRDefault="004051BF" w:rsidP="004051BF">
      <w:r>
        <w:t>Introduction and outline</w:t>
      </w:r>
    </w:p>
    <w:p w14:paraId="7BE79DFD" w14:textId="77777777" w:rsidR="004051BF" w:rsidRDefault="004051BF" w:rsidP="004051BF">
      <w:r>
        <w:t>Let us first start with the assumption that culture and cultural education are often perceived only as a nice decoration, but not as a necessity in principle, no matter which continent we are looking at.</w:t>
      </w:r>
    </w:p>
    <w:p w14:paraId="7FA4F3A2" w14:textId="77777777" w:rsidR="004051BF" w:rsidRDefault="004051BF" w:rsidP="004051BF">
      <w:r>
        <w:t>Nevertheless, the central theses of this paper can be defended, according to which (1) education without cultural education is at best incomplete, if not devoid of content, and (2) the arts as symbolic embodiments of social arrangements or through their special kind of coding uniquely depict social structures and power relations. This especially applies to academic teaching, which is one of the most comprehensive educational measures of all, far beyond the imparting of knowledge.</w:t>
      </w:r>
    </w:p>
    <w:p w14:paraId="76239073" w14:textId="77777777" w:rsidR="004051BF" w:rsidRDefault="004051BF" w:rsidP="004051BF">
      <w:r>
        <w:t>To support this thesis, the paper is structured as follows:</w:t>
      </w:r>
    </w:p>
    <w:p w14:paraId="4D697CB2" w14:textId="77777777" w:rsidR="004051BF" w:rsidRDefault="004051BF" w:rsidP="004051BF">
      <w:r>
        <w:t>The Concept of Culture</w:t>
      </w:r>
    </w:p>
    <w:p w14:paraId="62E18850" w14:textId="77777777" w:rsidR="004051BF" w:rsidRDefault="004051BF" w:rsidP="004051BF">
      <w:r>
        <w:t>The distinction between education and upbringing</w:t>
      </w:r>
    </w:p>
    <w:p w14:paraId="01374221" w14:textId="77777777" w:rsidR="004051BF" w:rsidRDefault="004051BF" w:rsidP="004051BF">
      <w:r>
        <w:t>Cultural education as the key to gaining a relationship with the world</w:t>
      </w:r>
    </w:p>
    <w:p w14:paraId="3FF09007" w14:textId="77777777" w:rsidR="004051BF" w:rsidRDefault="004051BF" w:rsidP="004051BF">
      <w:r>
        <w:t>Corporeality as the key to education</w:t>
      </w:r>
    </w:p>
    <w:p w14:paraId="0AD2448C" w14:textId="77777777" w:rsidR="004051BF" w:rsidRDefault="004051BF" w:rsidP="004051BF">
      <w:r>
        <w:t>Conclusion: The Implementation of Aesthetic Teaching Units in Syllabi for Academic Learning and a Brief Look at a Practical Example</w:t>
      </w:r>
    </w:p>
    <w:p w14:paraId="3F9C724C" w14:textId="77777777" w:rsidR="004051BF" w:rsidRDefault="004051BF" w:rsidP="004051BF">
      <w:r>
        <w:t>1. The Concept of Culture</w:t>
      </w:r>
    </w:p>
    <w:p w14:paraId="6FD9935D" w14:textId="77777777" w:rsidR="004051BF" w:rsidRDefault="004051BF" w:rsidP="004051BF">
      <w:r>
        <w:t xml:space="preserve">In German, social behavioral configurations are synonymously referred to as culture in a broad sense on the one hand and, in a narrower sense, the arts, i.e. music, theater, visual arts and literature, and sometimes also philosophy, on the other hand. This distinction makes things complicated, because different objects are meant, but they are closely related and mutually dependent. For today, the focus should be on art, i.e. visual arts, theater, literature, music and literature, i.e. on the aesthetic-artistic aspect of cultural education. It is about the passive and active engagement with artistic forms of expression in academic teaching, primarily about dealing with performative actions that are artistic according to the self-image of the actors. Nevertheless, in the second step I will arrive at the second thesis of this paper, according to which the arts, as symbolic embodiments of social arrangements or through their special kind of coding, uniquely depict social structures and power relations and are therefore indispensable for understanding societies, both foreign and one's own. A cultural understanding of other social systems is a prerequisite for gaining access to the horizons of meaning (cf. Berger/Luckmann 2028) of different scientific communities at universities and academies, for example. Only in this way can questions about the historical, political and social contexts of </w:t>
      </w:r>
      <w:r>
        <w:lastRenderedPageBreak/>
        <w:t>knowledge in general, but especially academic knowledge, be adequately answered and its essence, shape and scope determined. Only in this way can occasions and motivations for research be located historically and politically and traced back to their foundations. In a globalized scientific world, academic knowledge is also often oriented towards the needs of markets. But even these markets are always local and determined by traditions that are culturally reflected and can only be accessed through transcultural approaches.</w:t>
      </w:r>
    </w:p>
    <w:p w14:paraId="08F75B1D" w14:textId="77777777" w:rsidR="004051BF" w:rsidRDefault="004051BF" w:rsidP="004051BF">
      <w:r>
        <w:t>2. The distinction between education and upbringing</w:t>
      </w:r>
    </w:p>
    <w:p w14:paraId="146F129F" w14:textId="77777777" w:rsidR="004051BF" w:rsidRDefault="004051BF" w:rsidP="004051BF">
      <w:r>
        <w:t>How can the German word "Bildung" and the underlying concept be explained or even translated? Here it helps to look at the equivocation of the English noun for building and the verb to build, namely 'building', with the German word 'bildung' to produce a fully developed human being as a social, intelligible being capable of aesthetic feeling. In contrast to a building, however, people build themselves and are responsible for their own construction. Here, too, as in the definition of the concept of culture, a tautology can be established: to reach an educational goal, the person who is being educated would have to know the goal, i.e. she or he would have to be already educated.</w:t>
      </w:r>
    </w:p>
    <w:p w14:paraId="042A2240" w14:textId="77777777" w:rsidR="004051BF" w:rsidRDefault="004051BF" w:rsidP="004051BF">
      <w:r>
        <w:t>In relation to Cultural Education, this means first of all resolving the inherent contradiction between autonomous self-discovery and heteronomy in the recognition of beauty. In the Age of Enlightenment, Alexander Gottlieb Baumgarten (1714-1762) was the first to succeed in doing so, drafting an independent concept of education in which he "designs aesthetics as a separate logic of non-rational, sensual cognition, which opposes scientificity reserved only for philosophy" (cf. Zirfas/Klepacki 2013). Enlightenment refers to the subject as the decisive instance in the experience of art and beauty (ibid.), because the subject thus knows or suspects a priori what is beautiful and good when it gains aesthetic experience in encounter with cultural events or objects. This cognitive ability a priori is posited by Baumgarten and his successors as an anthropological constant and can probably best be justified with Kant's theories (1) of synthetic judgments a priori (Eisler 2024) and (2) of the sublime as accessible to all humans (cf. Kant 2001).</w:t>
      </w:r>
    </w:p>
    <w:p w14:paraId="5F70A579" w14:textId="77777777" w:rsidR="004051BF" w:rsidRDefault="004051BF" w:rsidP="004051BF">
      <w:r>
        <w:t>3. Cultural education as the key to gaining a relationship with the world</w:t>
      </w:r>
    </w:p>
    <w:p w14:paraId="7F8903F2" w14:textId="77777777" w:rsidR="004051BF" w:rsidRDefault="004051BF" w:rsidP="004051BF">
      <w:r>
        <w:t xml:space="preserve">It is by no means about establishing the utopia of a perfect society. Rather, inner beauty and the morally good as orientation, in order to identify less good and beautiful conditions, in order to understand a system in its complexity; it serves to establish a dialectical relationship between the beautiful and the ugly and the good and the evil, in order to classify actions and objects on the scales between the poles of good and evil and to bring them into a relationship with each other. It is therefore firstly about the ability to know and secondly about the justification of truth values about social conditions as the basis of ethics. It not only defines abstract concepts </w:t>
      </w:r>
      <w:r>
        <w:lastRenderedPageBreak/>
        <w:t xml:space="preserve">such as those of good and beautiful or their opposite, but also evaluates facts, i.e. events and entities that are recognized as phenomena by humans. </w:t>
      </w:r>
    </w:p>
    <w:p w14:paraId="466957D2" w14:textId="77777777" w:rsidR="004051BF" w:rsidRDefault="004051BF" w:rsidP="004051BF">
      <w:r>
        <w:t>Only through this relation, through the positing in relationships, are we able to recognize phenomena in their meanings. To use such a comprehensive capacity for knowledge beyond the handling of works of art for the aforementioned development of foreign cultures, but also for the understanding of nature and technology (as human artefacts) and to arrive at a comprehensive relationship to the world, transfers from the sphere of art to other areas of society are necessary.</w:t>
      </w:r>
    </w:p>
    <w:p w14:paraId="525AE556" w14:textId="77777777" w:rsidR="004051BF" w:rsidRDefault="004051BF" w:rsidP="004051BF">
      <w:r>
        <w:t>This transfer can be described under the formula "thinking differently" following Michel Foucault as a process of "transformational education" (Koller 2023:9) "and understood as a decisive moment of educational processes" (ibid.). "Because education [...] can also be described as a process of experience from which a subject 'emerges changed' – with the difference that this process of change affects not only thought, but the subject's entire relationship to the world, to others and to himself." (ibid.)</w:t>
      </w:r>
    </w:p>
    <w:p w14:paraId="041CEA1D" w14:textId="77777777" w:rsidR="004051BF" w:rsidRDefault="004051BF" w:rsidP="004051BF"/>
    <w:p w14:paraId="644E1427" w14:textId="77777777" w:rsidR="004051BF" w:rsidRDefault="004051BF" w:rsidP="004051BF">
      <w:r>
        <w:t>According to John Dewey's (2021) definition of the term, experience is not a mere accumulation of memories of events, but the transformation of experiences through their classification and evaluation in and through social and individual scaling in communicative processes. Only when subjects – in our case students but also teachers at universities – transform themselves through experience do they arrive at the self-understanding of their identity; it is not transferred to the subject from the outside but arises through his confrontation with social demands and his own needs (Krappmann 1975:41). Only when a person knows her- or himself can she or he recognize the world and enter a relationship with it.</w:t>
      </w:r>
    </w:p>
    <w:p w14:paraId="22681029" w14:textId="77777777" w:rsidR="004051BF" w:rsidRDefault="004051BF" w:rsidP="004051BF"/>
    <w:p w14:paraId="0D40AF44" w14:textId="77777777" w:rsidR="004051BF" w:rsidRDefault="004051BF" w:rsidP="004051BF">
      <w:r>
        <w:t>The establishment of the relationship to the world does not take place on the basis of direct encounter and perception, but through the recognition of meanings with which we provide the things in the world. Only when we know what the world means to us – according to Wittgenstein (1990) "everything that is the case" – can we enter into meaningful social interactions. In this way, a "logical universe of significant symbols" (cf. Mead 1980) is opened as a universally valid system of signs, which nevertheless leaves room for interpretation and change.</w:t>
      </w:r>
    </w:p>
    <w:p w14:paraId="05908A4A" w14:textId="77777777" w:rsidR="004051BF" w:rsidRDefault="004051BF" w:rsidP="004051BF"/>
    <w:p w14:paraId="1515F068" w14:textId="77777777" w:rsidR="004051BF" w:rsidRDefault="004051BF" w:rsidP="004051BF">
      <w:r>
        <w:t xml:space="preserve">This is where art comes into play. Also, and especially because there can be no translation of artistic symbols and things in reality in a ratio of 1:1, works of art always have a meaning that </w:t>
      </w:r>
      <w:r>
        <w:lastRenderedPageBreak/>
        <w:t>goes beyond what is represented, to the point of meaninglessness. It may also be that the artists themselves do not know the meaning of their works of art or cannot reproduce it linguistically. In any case, the work of art is related to individual and social action. Cultural education or education in culture are therefore essential for the recognition and classification of identities, both of one's own and those of other people.</w:t>
      </w:r>
    </w:p>
    <w:p w14:paraId="05B4901D" w14:textId="77777777" w:rsidR="004051BF" w:rsidRDefault="004051BF" w:rsidP="004051BF"/>
    <w:p w14:paraId="7B096333" w14:textId="77777777" w:rsidR="004051BF" w:rsidRDefault="004051BF" w:rsidP="004051BF">
      <w:r>
        <w:t>Another crucial aspect for individuals of establishing a world relationship concerns the recognition of the changeability of the world, which also offers a transformational approach. We experience our social environment not only as a compendium of static conditions, but as a variable arrangement of relationships and situations designed by humans. At first glance, this seems trivial, but in view of human perseverance and partly ideologically based stubbornness, it is at least counterintuitive. The world, because of its inadequacy and multiple injustices, invites us to contradiction, to change. The poet and philosopher Friedrich Schiller summed up the ability to change in his 1795 treatise "On the Aesthetic Education of Man" (cf. Schiller 2010) in the concept of play. The game is therefore not understood as a game of chance or competition, but as a creative-artistic way of dealing with aesthetic artefacts, with colors, sounds, poetry and movements in the arts.</w:t>
      </w:r>
    </w:p>
    <w:p w14:paraId="322FA459" w14:textId="77777777" w:rsidR="004051BF" w:rsidRDefault="004051BF" w:rsidP="004051BF">
      <w:r>
        <w:t>4. Corporeality as the Key to Transformational Education</w:t>
      </w:r>
    </w:p>
    <w:p w14:paraId="68C0B7E1" w14:textId="77777777" w:rsidR="004051BF" w:rsidRDefault="004051BF" w:rsidP="004051BF">
      <w:r>
        <w:t>In order to be able to decipher meanings and adopt them into individual systems, to become "one" with one's own identity and to recognize it as self-evident and to insert it into the circumstances of a game in Schiller's sense, a person as a whole must be permeated by the system of meaning and also be able to recognize that other people and societies are in other, equally living systems. A merely cognitively grasped and rationalizing abstraction of symbolic contents, on the other hand, would remain alien. It can seem like an abstract scheme, does not necessarily focus on a reference to something real and does not claim an independent truth value. To establish a complete relationship with the world and at least to recognize its meaning, even if not necessarily to share it, we must receive signs sensually and physically. Only in this way can we convince ourselves of the reality of the world represented by our own sign system and grant the same validity to other sign systems.</w:t>
      </w:r>
    </w:p>
    <w:p w14:paraId="445B32DE" w14:textId="77777777" w:rsidR="004051BF" w:rsidRDefault="004051BF" w:rsidP="004051BF">
      <w:r>
        <w:t>The French philosopher and phenomenologist Maurice Merleau-Ponty recognized in the body the medium of human existence to the world, the "être-au-monde" (Merleau-Ponty 1976:173). Only through our corporeality can we be sure of our worldliness; it alone allows us to recognize reality as real.</w:t>
      </w:r>
    </w:p>
    <w:p w14:paraId="79BB3959" w14:textId="77777777" w:rsidR="004051BF" w:rsidRDefault="004051BF" w:rsidP="004051BF">
      <w:r>
        <w:t xml:space="preserve">An effective education that fully captures the person beyond the accumulation of repetitive knowledge must therefore be physical. It should be noted that for this purpose the human </w:t>
      </w:r>
      <w:r>
        <w:lastRenderedPageBreak/>
        <w:t>being must be grasped not only as a physical body, but as a unity of body, mind and soul. Maurice Merleau-Ponty, like all other phenomenologists, thus rejects the Cartesian separation of body and mind, which has shaped European thought since the 17th century, at the latest since the publication of the "Meditationes de prima philosophia" by René Descartes in 1641 (Gäbe und Descartes 1992). The epistemological concept that goes hand in hand with this is based on an isolated human mind that acts only indirectly in relation to the surrounding body. This approach has been considered outdated since the development of phenomenology at the latest (cf. Husserl 2012), but it nevertheless determines our thinking and thus social, political and often pedagogical action, also due to the successes of supposedly objective scientific research.</w:t>
      </w:r>
    </w:p>
    <w:p w14:paraId="1E940F35" w14:textId="77777777" w:rsidR="004051BF" w:rsidRDefault="004051BF" w:rsidP="004051BF">
      <w:r>
        <w:t>Above all, in higher education didactics, we must free ourselves from the illusion of the human mind as a superordinate instance of cognition, evaluation and shaping of our environment in order to convey to ourselves and our students that we as human beings are always and completely part of our environment and reflect on our self in every learning step. Through aesthetic, i.e. sense-oriented and bodily perception and expression, we as subjects become figures in self-designed play.</w:t>
      </w:r>
    </w:p>
    <w:p w14:paraId="3118321B" w14:textId="77777777" w:rsidR="004051BF" w:rsidRDefault="004051BF" w:rsidP="004051BF">
      <w:r>
        <w:t>5. Conclusion: The implementation of teaching units on aesthetic and cultural education in Syllabi for academic learning as well as a brief look into practice</w:t>
      </w:r>
    </w:p>
    <w:p w14:paraId="08470516" w14:textId="77777777" w:rsidR="004051BF" w:rsidRDefault="004051BF" w:rsidP="004051BF">
      <w:r>
        <w:t>What does this mean for academic teaching? First, as has been pointed out, we must distance ourselves from the illusion of a pure transfer of knowledge. There is no such thing as context-free knowledge, as all bodies of knowledge, even supposedly objective and neutral, are embedded in social conditions and different cultures. Even in the natural sciences and mathematics, research and thus teaching follows continental and national interests and traditions and, in global capitalism, ultimately the laws of the respective markets. What applies to natural sciences and engineering is even truer for the social sciences and humanities. Especially in them, the cultural situation and the development of knowledge from within are important. To understand texts and representations, basic hermeneutical knowledge is required, which, as explained, can only be acquired through cultural education. The aforementioned "logical universe of significant symbols" must be explored and physically internalized. This is best done through one's own actions, rather than through observation or passive listening. It also makes more sense to integrate cultural education into regular seminars than to place it separately next to the curriculum. It must not stand on the side like a "nice decoration" mentioned at the beginning but must be intertwined with the teaching.</w:t>
      </w:r>
    </w:p>
    <w:p w14:paraId="279AD737" w14:textId="77777777" w:rsidR="004051BF" w:rsidRDefault="004051BF" w:rsidP="004051BF">
      <w:r>
        <w:t xml:space="preserve">The 4th Development Goal of the 17 Sustainable Development Goals (SDGs) defined by the United Nations aims not only at acquiring basic literacy and arithmetic skills, but at high-quality education too, also and especially at universities. It is intended to provide all people with skills </w:t>
      </w:r>
      <w:r>
        <w:lastRenderedPageBreak/>
        <w:t xml:space="preserve">for promoting sustainable development. As sufficiently explained before, this qualitative objective can only be achieved by integrating cultural education into all general educational measures. </w:t>
      </w:r>
    </w:p>
    <w:p w14:paraId="7A3F119F" w14:textId="77777777" w:rsidR="004051BF" w:rsidRDefault="004051BF" w:rsidP="004051BF">
      <w:r>
        <w:t>This paper concludes with a look at practice. In a teaching experiment in the German Department of Ha Noi National University (HANU), which took place for the first time in connection with the research project LaVie in November 2022, the theater pedagogical method "Mind the Gap" was exercised with Vietnamese students. The method explicitly referred to the Western concept of taking on roles in theater as an art.</w:t>
      </w:r>
    </w:p>
    <w:p w14:paraId="60940D40" w14:textId="77777777" w:rsidR="004051BF" w:rsidRDefault="004051BF" w:rsidP="004051BF">
      <w:r>
        <w:t>As an introduction to the game, we carried out a basic body-related theater pedagogical exercise with the participants. Afterwards, we took up an everyday conflict identified by the seminar participants and acted out the situation as a theater scene. Little by little, we integrated the students into the game and had them put up a tableau of the people involved and play the scene in different variations. Afterwards, the actions and dialogues were interpreted, and the perspectives of the participants were explored. This method of forum theater, which is based on Augusto Boals (2009) method in general, is about the experience of group dynamic processes and the adoption of different perspectives in a conflict. The HANU students used a previously unknown method of theatrical group work and dealt exemplary with a topic that was important to them.</w:t>
      </w:r>
    </w:p>
    <w:p w14:paraId="2ACD4045" w14:textId="77777777" w:rsidR="004051BF" w:rsidRDefault="004051BF" w:rsidP="004051BF">
      <w:r>
        <w:t>The spontaneous willingness of the students to participate in the play was surprising to us insofar as there are only a few theaters in Vietnam and no independent dramatic tradition in the style of representative drama based on the European model (Dinh Quang 1998:10). School plays, amateur theater and amateur drama are also virtually unknown and games in the sense of creative design are rather rare.</w:t>
      </w:r>
    </w:p>
    <w:p w14:paraId="1F275FC0" w14:textId="77777777" w:rsidR="004051BF" w:rsidRDefault="004051BF" w:rsidP="004051BF">
      <w:r>
        <w:t>We were even more surprised that the seminar participants were able to get into the scenic work without asking about how to act. After a short moment of hesitation, a student was the character in the play and developed an idea of the person he impersonated and appropriate behaviors from a standing start. The ability to embody a fictitious role figure according to an inner imagination was given to him, like to all other students.</w:t>
      </w:r>
    </w:p>
    <w:p w14:paraId="44910392" w14:textId="77777777" w:rsidR="004051BF" w:rsidRDefault="004051BF" w:rsidP="004051BF">
      <w:r>
        <w:t xml:space="preserve">Without being able to attach extensive evidence to this episode, it can be stated that there seems to be a universal understanding of acting that does not require tradition or embedding in a particular culture. This understanding goes far beyond a simple mimetic concept (Gebauer/Wulf 1998:44), because it includes social, psychological, motorically and generally expressive modes of perception and expression, which are also subject to internal and external reflection. In short, it can be stated that the students we invited to participate wanted to and were able to act in theater and were thus qualified to play according to a model unknown to </w:t>
      </w:r>
      <w:r>
        <w:lastRenderedPageBreak/>
        <w:t>them. By changing the arrangement of tables and chairs – the students assured us that they had never acted in a circle of chairs or in an open semicircle before – the participants of the seminar also got moving, which was new and unusual for them in the context of the university. As a result, they were willing to cooperate and held free conversations about what was happening afterwards.</w:t>
      </w:r>
    </w:p>
    <w:p w14:paraId="0A42C212" w14:textId="77777777" w:rsidR="004051BF" w:rsidRDefault="004051BF" w:rsidP="004051BF">
      <w:r>
        <w:t xml:space="preserve">The example of "Mind the Gap" shows that methods of cultural education – in this case the reference to theater as an art form – can be meaningfully integrated into teaching at universities. For each art form, be it literature, visual arts, music or others, a separate application can be produced directly and indirectly. The students of HANU have engaged with the form of theater, which is unknown to them, they have broadened their horizons through their own bodily and creative activity and have realized that they can abstract from the reality of social conditions and change social structures in a self-effective (Bandura 1997) and at least playful way. Cultural education helps students to establish an individual relationship to themselves and the world (Treptow 2015) and opens the door to transformational educational processes. Knowledge, skill and aesthetic perception combine through the reference to art to form a holistic personality and lead to success in academic learning. </w:t>
      </w:r>
    </w:p>
    <w:p w14:paraId="3E1BF1B3" w14:textId="77777777" w:rsidR="004051BF" w:rsidRDefault="004051BF" w:rsidP="004051BF">
      <w:r>
        <w:t>References</w:t>
      </w:r>
    </w:p>
    <w:p w14:paraId="51142C9A" w14:textId="77777777" w:rsidR="004051BF" w:rsidRDefault="004051BF" w:rsidP="004051BF">
      <w:r>
        <w:t>Baecker, Dirk (2003): Wozu Kultur? 3. ed. Berlin: Kulturverl. Kadmos.</w:t>
      </w:r>
    </w:p>
    <w:p w14:paraId="0E000237" w14:textId="77777777" w:rsidR="004051BF" w:rsidRDefault="004051BF" w:rsidP="004051BF">
      <w:r>
        <w:t>Bandura, Albert (ed.) (1997): Self-efficacy in changing societies. Cambridge: Cambridge Univ. Press.</w:t>
      </w:r>
    </w:p>
    <w:p w14:paraId="3161AB88" w14:textId="77777777" w:rsidR="004051BF" w:rsidRDefault="004051BF" w:rsidP="004051BF">
      <w:r>
        <w:t>Berger, Peter L.; Luckmann, Thomas (2018): Die gesellschaftliche Konstruktion der Wirklichkeit. Eine Theorie der Wissenssoziologie. Mit einer Einleitung zur deutschen Ausgabe von Helmuth Plessner. 27. ed. Frankfurt am Main: Fischer Taschenbuch.</w:t>
      </w:r>
    </w:p>
    <w:p w14:paraId="0AFE590D" w14:textId="77777777" w:rsidR="004051BF" w:rsidRDefault="004051BF" w:rsidP="004051BF">
      <w:r>
        <w:t>Dewey, John (2021): Kunst als Erfahrung. 10. ed. Frankfurt am Main: Suhrkamp.</w:t>
      </w:r>
    </w:p>
    <w:p w14:paraId="5AAAF6A0" w14:textId="77777777" w:rsidR="004051BF" w:rsidRDefault="004051BF" w:rsidP="004051BF">
      <w:r>
        <w:t>Dinh Quang (1998): Asian theatre: tradition and modernity. In: Vietnamese Studies 34 (4), S. 7–18.</w:t>
      </w:r>
    </w:p>
    <w:p w14:paraId="6BC44D16" w14:textId="77777777" w:rsidR="004051BF" w:rsidRDefault="004051BF" w:rsidP="004051BF">
      <w:r>
        <w:t>Eisler, Rudolf (2024): Kant-Lexikon. Nachschlagewerk zu Kants sämtlichen Schriften, Briefen und handschriftlichem Nachlaß. Analytische und synthetische Urteile. Nachdruck der Ausgabe Berlin 1930. Hildesheim: Olms Presse. Online: https://www.textlog.de/eisler/kant-lexikon/urteile-analytische-und-synthetische.</w:t>
      </w:r>
    </w:p>
    <w:p w14:paraId="64CE3396" w14:textId="77777777" w:rsidR="004051BF" w:rsidRDefault="004051BF" w:rsidP="004051BF">
      <w:r>
        <w:t>Gäbe, Lüder; Descartes, René (ed.) (1992): Meditationen über die Grundlagen der Philosophie. Lateinisch-Deutsch = Meditationes de prima philosophia. 3. ed. Hamburg: Meiner.</w:t>
      </w:r>
    </w:p>
    <w:p w14:paraId="559DDF3A" w14:textId="77777777" w:rsidR="004051BF" w:rsidRDefault="004051BF" w:rsidP="004051BF">
      <w:r>
        <w:lastRenderedPageBreak/>
        <w:t>Gebauer, Gunter; Wulf, Christoph (1998): Mimesis. Kultur, Kunst, Gesellschaft. 2. ed. Hamburg: Rowohlt.</w:t>
      </w:r>
    </w:p>
    <w:p w14:paraId="248996D4" w14:textId="77777777" w:rsidR="004051BF" w:rsidRDefault="004051BF" w:rsidP="004051BF">
      <w:r>
        <w:t>Husserl, Edmund (ed.) (2012): Cartesianische Meditationen. Eine Einleitung in die Phänomenologie. Hamburg: Meiner. Online: http://epub.sub.uni-hamburg.de/epub/volltexte/einzelplatz/2013/20252/.</w:t>
      </w:r>
    </w:p>
    <w:p w14:paraId="4D6C05ED" w14:textId="77777777" w:rsidR="004051BF" w:rsidRDefault="004051BF" w:rsidP="004051BF">
      <w:r>
        <w:t>Kant, Immanuel (2001): Kritik der Urteilskraft. Unter Mitarbeit von Heiner F. Klemme. Hamburg: Meiner.</w:t>
      </w:r>
    </w:p>
    <w:p w14:paraId="442C36CE" w14:textId="77777777" w:rsidR="004051BF" w:rsidRDefault="004051BF" w:rsidP="004051BF">
      <w:r>
        <w:t>Koller, Hans-Christoph (2023): Bildung Anders Denken. Einführung in Die Theorie Transformatorischer Bildungsprozesse. 3. ed. Stuttgart: Kohlhammer Verlag. Online: https://ebookcentral.proquest.com/lib/kxp/detail.action?docID=31360136.</w:t>
      </w:r>
    </w:p>
    <w:p w14:paraId="6F3F5147" w14:textId="77777777" w:rsidR="004051BF" w:rsidRDefault="004051BF" w:rsidP="004051BF">
      <w:r>
        <w:t>Krappmann, Lothar (1975): Soziologische Dimensionen der Identität. Strukturelle Bedingungen für die Teilnahme an Interaktionsprozessen. 4. ed. Stuttgart: Klett-Cotta.</w:t>
      </w:r>
    </w:p>
    <w:p w14:paraId="6B1E05D4" w14:textId="77777777" w:rsidR="004051BF" w:rsidRDefault="004051BF" w:rsidP="004051BF">
      <w:r>
        <w:t>Martínková, Irena (2010): Three Interpretations of Kalokagathia. In: Peter Mauritsch (ed.): Körper im Kopf. Antike Diskurse zum Körper; Vorträge gehalten im Rahmen der 8. Grazer Althistorischen Adventgespräche. Graz: Grazer Universitätsverlag pp. 17–28.</w:t>
      </w:r>
    </w:p>
    <w:p w14:paraId="79D28BBA" w14:textId="77777777" w:rsidR="004051BF" w:rsidRDefault="004051BF" w:rsidP="004051BF">
      <w:r>
        <w:t>Mead, George Herbert (1980): Geist, Identität und Gesellschaft. Aus der Sicht des Sozialbehaviorismus. 4. ed., Frankfurt am Main: Suhrkamp.</w:t>
      </w:r>
    </w:p>
    <w:p w14:paraId="1D474633" w14:textId="77777777" w:rsidR="004051BF" w:rsidRDefault="004051BF" w:rsidP="004051BF">
      <w:r>
        <w:t>Merleau-Ponty, Maurice (1976): Die Struktur des Verhaltens. Berlin: Walter de Gruyter.</w:t>
      </w:r>
    </w:p>
    <w:p w14:paraId="525CCE18" w14:textId="77777777" w:rsidR="004051BF" w:rsidRDefault="004051BF" w:rsidP="004051BF">
      <w:r>
        <w:t>Schiller, Friedrich (2001): Schillers Werke. Weimar: Böhlau.</w:t>
      </w:r>
    </w:p>
    <w:p w14:paraId="4D5B5811" w14:textId="77777777" w:rsidR="004051BF" w:rsidRDefault="004051BF" w:rsidP="004051BF">
      <w:r>
        <w:t>Spinu, Marina; Boal, Augusto (ed.) (2009): Theater der Unterdrückten. Übungen und Spiele für Schauspieler und Nicht-Schauspieler. Frankfurt am Main: Suhrkamp.</w:t>
      </w:r>
    </w:p>
    <w:p w14:paraId="444E6CDA" w14:textId="77777777" w:rsidR="004051BF" w:rsidRDefault="004051BF" w:rsidP="004051BF">
      <w:r>
        <w:t>Treptow, Rainer (2015): Hand in Hand. Soziale Arbeit und Kulturelle Bildung (Kulturelle Bildung Online). Online https://doi.org/10.25529/92552.163.</w:t>
      </w:r>
    </w:p>
    <w:p w14:paraId="0FB2B786" w14:textId="77777777" w:rsidR="004051BF" w:rsidRDefault="004051BF" w:rsidP="004051BF">
      <w:r>
        <w:t>Wittgenstein, Ludwig (1990): Tractatus logico-philosophicus. Leipzig: Reclam.</w:t>
      </w:r>
    </w:p>
    <w:p w14:paraId="5637385D" w14:textId="77777777" w:rsidR="007C44D4" w:rsidRDefault="004051BF" w:rsidP="004051BF">
      <w:r>
        <w:t>Zirfas, Jörg; Klepacki, Leopold (2013): Die Geschichte der Ästhetischen Bildung. Wissensplattform KULTURELLE BILDUNG ONLINE. Wolfenbüttel. Online https://www.kubi-online.de/artikel/geschichte-aesthetischen-bildung.</w:t>
      </w:r>
    </w:p>
    <w:sectPr w:rsidR="007C44D4">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1BF"/>
    <w:rsid w:val="00224DA7"/>
    <w:rsid w:val="004051BF"/>
    <w:rsid w:val="007C44D4"/>
    <w:rsid w:val="00C73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DFE1538"/>
  <w14:defaultImageDpi w14:val="0"/>
  <w15:docId w15:val="{7B1A5635-54AC-4192-8995-FEF99092E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4"/>
        <w:szCs w:val="24"/>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3223</Words>
  <Characters>18372</Characters>
  <Application>Microsoft Office Word</Application>
  <DocSecurity>0</DocSecurity>
  <Lines>153</Lines>
  <Paragraphs>43</Paragraphs>
  <ScaleCrop>false</ScaleCrop>
  <Company/>
  <LinksUpToDate>false</LinksUpToDate>
  <CharactersWithSpaces>21552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Sơn Nguyễn</dc:creator>
  <cp:keywords/>
  <dc:description/>
  <cp:lastModifiedBy>Sơn Nguyễn</cp:lastModifiedBy>
  <cp:revision>2</cp:revision>
  <dcterms:created xsi:type="dcterms:W3CDTF">2026-03-12T07:11:00Z</dcterms:created>
  <dcterms:modified xsi:type="dcterms:W3CDTF">2026-03-12T07:11:00Z</dcterms:modified>
</cp:coreProperties>
</file>